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0B7" w:rsidRDefault="0085393B" w:rsidP="00F0023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Memorandum </w:t>
      </w:r>
      <w:r w:rsidR="00F00235">
        <w:rPr>
          <w:rFonts w:ascii="Times New Roman" w:hAnsi="Times New Roman" w:cs="Times New Roman"/>
          <w:sz w:val="24"/>
          <w:szCs w:val="24"/>
          <w:lang w:val="en-US"/>
        </w:rPr>
        <w:t>of L</w:t>
      </w:r>
      <w:r>
        <w:rPr>
          <w:rFonts w:ascii="Times New Roman" w:hAnsi="Times New Roman" w:cs="Times New Roman"/>
          <w:sz w:val="24"/>
          <w:szCs w:val="24"/>
          <w:lang w:val="en-US"/>
        </w:rPr>
        <w:t>aw</w:t>
      </w:r>
    </w:p>
    <w:p w:rsidR="00F00235" w:rsidRDefault="0085393B" w:rsidP="00F0023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To: Court of Appeal </w:t>
      </w:r>
    </w:p>
    <w:p w:rsidR="00FE6E82" w:rsidRDefault="0085393B" w:rsidP="00F0023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From:</w:t>
      </w:r>
      <w:r w:rsidR="00F00235">
        <w:rPr>
          <w:rFonts w:ascii="Times New Roman" w:hAnsi="Times New Roman" w:cs="Times New Roman"/>
          <w:sz w:val="24"/>
          <w:szCs w:val="24"/>
          <w:lang w:val="en-US"/>
        </w:rPr>
        <w:t xml:space="preserve"> Cory Brown </w:t>
      </w:r>
    </w:p>
    <w:p w:rsidR="00FE6E82" w:rsidRDefault="0085393B" w:rsidP="00F0023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w:t>
      </w:r>
    </w:p>
    <w:p w:rsidR="00FE6E82" w:rsidRDefault="0085393B" w:rsidP="00F0023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RE: Mr Brown entitlement to counsel during the lineup.</w:t>
      </w:r>
    </w:p>
    <w:p w:rsidR="00FE6E82" w:rsidRDefault="0085393B" w:rsidP="00F0023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Issue</w:t>
      </w:r>
    </w:p>
    <w:p w:rsidR="00FE6E82" w:rsidRDefault="0085393B" w:rsidP="00F0023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Alleged constitution violation in obtaining and presentation of evidence to the court can lead to the nullification of all charges. According to the sixth amendment, any accused has a right to be provided with an attorney during line up and questioning to</w:t>
      </w:r>
      <w:r w:rsidR="00EB57E2">
        <w:rPr>
          <w:rFonts w:ascii="Times New Roman" w:hAnsi="Times New Roman" w:cs="Times New Roman"/>
          <w:sz w:val="24"/>
          <w:szCs w:val="24"/>
          <w:lang w:val="en-US"/>
        </w:rPr>
        <w:t xml:space="preserve"> seek evidence (</w:t>
      </w:r>
      <w:r w:rsidR="00EB57E2">
        <w:rPr>
          <w:rFonts w:ascii="Times New Roman" w:eastAsia="Times New Roman" w:hAnsi="Times New Roman" w:cs="Times New Roman"/>
          <w:sz w:val="24"/>
          <w:szCs w:val="24"/>
          <w:lang w:eastAsia="en-ZW"/>
        </w:rPr>
        <w:t xml:space="preserve">Amar, </w:t>
      </w:r>
      <w:r w:rsidR="00EB57E2" w:rsidRPr="00EB57E2">
        <w:rPr>
          <w:rFonts w:ascii="Times New Roman" w:eastAsia="Times New Roman" w:hAnsi="Times New Roman" w:cs="Times New Roman"/>
          <w:sz w:val="24"/>
          <w:szCs w:val="24"/>
          <w:lang w:eastAsia="en-ZW"/>
        </w:rPr>
        <w:t xml:space="preserve">1995). </w:t>
      </w:r>
      <w:r>
        <w:rPr>
          <w:rFonts w:ascii="Times New Roman" w:hAnsi="Times New Roman" w:cs="Times New Roman"/>
          <w:sz w:val="24"/>
          <w:szCs w:val="24"/>
          <w:lang w:val="en-US"/>
        </w:rPr>
        <w:t xml:space="preserve"> The state has the right to inform and allow the accused to seek the assistance of his council </w:t>
      </w:r>
      <w:r w:rsidR="004A2534">
        <w:rPr>
          <w:rFonts w:ascii="Times New Roman" w:hAnsi="Times New Roman" w:cs="Times New Roman"/>
          <w:sz w:val="24"/>
          <w:szCs w:val="24"/>
          <w:lang w:val="en-US"/>
        </w:rPr>
        <w:t xml:space="preserve">to prevent </w:t>
      </w:r>
      <w:r>
        <w:rPr>
          <w:rFonts w:ascii="Times New Roman" w:hAnsi="Times New Roman" w:cs="Times New Roman"/>
          <w:sz w:val="24"/>
          <w:szCs w:val="24"/>
          <w:lang w:val="en-US"/>
        </w:rPr>
        <w:t>self-incrimination. Such knowledge should be accorded to all the participants in the trial to save guard their innocence before the court. During line up the process, the credibility of the witness and inform information should be safeguarded, and the same feedback provides at all levels of questions. The same stance and statement should not contradict one another at any stage of cross-examination, chief examination and re-examination. According to Cory Brown, the 6</w:t>
      </w:r>
      <w:r w:rsidRPr="00EC58F6">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amendment was not extended to him, and his council was not provided to shield him from further accusation. The accused had the right to have his attorney present who was never provided. The only chance where the attorney is not required is during the presentation of evidence either blood, semen or fabric by an expert. </w:t>
      </w:r>
      <w:r w:rsidR="004D1DF0">
        <w:rPr>
          <w:rFonts w:ascii="Times New Roman" w:hAnsi="Times New Roman" w:cs="Times New Roman"/>
          <w:sz w:val="24"/>
          <w:szCs w:val="24"/>
          <w:lang w:val="en-US"/>
        </w:rPr>
        <w:t xml:space="preserve">During the lineup, Cory brown lined up innocently without his attorney, the witnesses ascertained he was the suspect basing on the previous interaction and </w:t>
      </w:r>
      <w:r w:rsidR="00EB57E2">
        <w:rPr>
          <w:rFonts w:ascii="Times New Roman" w:hAnsi="Times New Roman" w:cs="Times New Roman"/>
          <w:sz w:val="24"/>
          <w:szCs w:val="24"/>
          <w:lang w:val="en-US"/>
        </w:rPr>
        <w:t>unique physic (</w:t>
      </w:r>
      <w:r w:rsidR="00EB57E2">
        <w:rPr>
          <w:rFonts w:ascii="Times New Roman" w:eastAsia="Times New Roman" w:hAnsi="Times New Roman" w:cs="Times New Roman"/>
          <w:sz w:val="24"/>
          <w:szCs w:val="24"/>
          <w:lang w:eastAsia="en-ZW"/>
        </w:rPr>
        <w:t>Purrington,</w:t>
      </w:r>
      <w:r w:rsidR="00EB57E2" w:rsidRPr="00EB57E2">
        <w:rPr>
          <w:rFonts w:ascii="Times New Roman" w:eastAsia="Times New Roman" w:hAnsi="Times New Roman" w:cs="Times New Roman"/>
          <w:sz w:val="24"/>
          <w:szCs w:val="24"/>
          <w:lang w:eastAsia="en-ZW"/>
        </w:rPr>
        <w:t>1906).</w:t>
      </w:r>
    </w:p>
    <w:p w:rsidR="004D1DF0" w:rsidRDefault="0085393B" w:rsidP="00F0023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Answer</w:t>
      </w:r>
      <w:bookmarkStart w:id="0" w:name="_GoBack"/>
      <w:bookmarkEnd w:id="0"/>
    </w:p>
    <w:p w:rsidR="004D1DF0" w:rsidRDefault="0085393B" w:rsidP="00F0023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chances of admitting in-court identification without guaranteeing weather they were tainted by illegal line up despite them being of different origin from the witness is a constitutional error. </w:t>
      </w:r>
      <w:r w:rsidR="00B853CC">
        <w:rPr>
          <w:rFonts w:ascii="Times New Roman" w:hAnsi="Times New Roman" w:cs="Times New Roman"/>
          <w:sz w:val="24"/>
          <w:szCs w:val="24"/>
          <w:lang w:val="en-US"/>
        </w:rPr>
        <w:t xml:space="preserve">The police conducting line ups without informing the accused and proving notice to the attorney violates the sixth amendment and questions the credibility of the admitting the evidence of the accused by a witness who attended the lineup. All the evidence derived at this point without the attorney are illegal and cannot prove they had a separate </w:t>
      </w:r>
      <w:r w:rsidR="00EB57E2">
        <w:rPr>
          <w:rFonts w:ascii="Times New Roman" w:hAnsi="Times New Roman" w:cs="Times New Roman"/>
          <w:sz w:val="24"/>
          <w:szCs w:val="24"/>
          <w:lang w:val="en-US"/>
        </w:rPr>
        <w:t>source (</w:t>
      </w:r>
      <w:r w:rsidR="00EB57E2">
        <w:rPr>
          <w:rFonts w:ascii="Times New Roman" w:eastAsia="Times New Roman" w:hAnsi="Times New Roman" w:cs="Times New Roman"/>
          <w:sz w:val="24"/>
          <w:szCs w:val="24"/>
          <w:lang w:eastAsia="en-ZW"/>
        </w:rPr>
        <w:t xml:space="preserve">Quinn, </w:t>
      </w:r>
      <w:r w:rsidR="00EB57E2" w:rsidRPr="00EB57E2">
        <w:rPr>
          <w:rFonts w:ascii="Times New Roman" w:eastAsia="Times New Roman" w:hAnsi="Times New Roman" w:cs="Times New Roman"/>
          <w:sz w:val="24"/>
          <w:szCs w:val="24"/>
          <w:lang w:eastAsia="en-ZW"/>
        </w:rPr>
        <w:t>1970).</w:t>
      </w:r>
    </w:p>
    <w:p w:rsidR="00B853CC" w:rsidRDefault="0085393B" w:rsidP="00F0023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Facts.</w:t>
      </w:r>
    </w:p>
    <w:p w:rsidR="00B853CC" w:rsidRDefault="0085393B" w:rsidP="00F0023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legislative regulation is put in place to allow fair trials of all convicted and accused person against the law. Collection and questioning </w:t>
      </w:r>
      <w:r w:rsidR="009E1A8A">
        <w:rPr>
          <w:rFonts w:ascii="Times New Roman" w:hAnsi="Times New Roman" w:cs="Times New Roman"/>
          <w:sz w:val="24"/>
          <w:szCs w:val="24"/>
          <w:lang w:val="en-US"/>
        </w:rPr>
        <w:t xml:space="preserve">of </w:t>
      </w:r>
      <w:r>
        <w:rPr>
          <w:rFonts w:ascii="Times New Roman" w:hAnsi="Times New Roman" w:cs="Times New Roman"/>
          <w:sz w:val="24"/>
          <w:szCs w:val="24"/>
          <w:lang w:val="en-US"/>
        </w:rPr>
        <w:t xml:space="preserve">accused of evidence follow the same law to improve the credibility of the information. </w:t>
      </w:r>
      <w:r w:rsidR="009E1A8A">
        <w:rPr>
          <w:rFonts w:ascii="Times New Roman" w:hAnsi="Times New Roman" w:cs="Times New Roman"/>
          <w:sz w:val="24"/>
          <w:szCs w:val="24"/>
          <w:lang w:val="en-US"/>
        </w:rPr>
        <w:t>Conducting</w:t>
      </w:r>
      <w:r>
        <w:rPr>
          <w:rFonts w:ascii="Times New Roman" w:hAnsi="Times New Roman" w:cs="Times New Roman"/>
          <w:sz w:val="24"/>
          <w:szCs w:val="24"/>
          <w:lang w:val="en-US"/>
        </w:rPr>
        <w:t xml:space="preserve"> any line up on the accuse violets his 5</w:t>
      </w:r>
      <w:r w:rsidRPr="003D41FE">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amendment </w:t>
      </w:r>
      <w:r w:rsidR="009E1A8A">
        <w:rPr>
          <w:rFonts w:ascii="Times New Roman" w:hAnsi="Times New Roman" w:cs="Times New Roman"/>
          <w:sz w:val="24"/>
          <w:szCs w:val="24"/>
          <w:lang w:val="en-US"/>
        </w:rPr>
        <w:t>from self-incrimination and the sixth amendment that allows him the right to a counsel. The council is required to protect browns fundamental right as a criminal defendant for a fair trial and cross-examine the witness of his behalf, making the attorney very meaningful for the process. Under the sixth amendment its states that “ in all criminal prosecutions, the accused shall enjoy the right to have the assistance of counsel for his defense”.</w:t>
      </w:r>
      <w:r w:rsidR="00B76848">
        <w:rPr>
          <w:rFonts w:ascii="Times New Roman" w:hAnsi="Times New Roman" w:cs="Times New Roman"/>
          <w:sz w:val="24"/>
          <w:szCs w:val="24"/>
          <w:lang w:val="en-US"/>
        </w:rPr>
        <w:t xml:space="preserve"> To make a presentation at the trial, the counsel is critical and any challenges involved in secret interrog</w:t>
      </w:r>
      <w:r w:rsidR="00EB57E2">
        <w:rPr>
          <w:rFonts w:ascii="Times New Roman" w:hAnsi="Times New Roman" w:cs="Times New Roman"/>
          <w:sz w:val="24"/>
          <w:szCs w:val="24"/>
          <w:lang w:val="en-US"/>
        </w:rPr>
        <w:t>ation (</w:t>
      </w:r>
      <w:r w:rsidR="00EB57E2">
        <w:rPr>
          <w:rFonts w:ascii="Times New Roman" w:eastAsia="Times New Roman" w:hAnsi="Times New Roman" w:cs="Times New Roman"/>
          <w:sz w:val="24"/>
          <w:szCs w:val="24"/>
          <w:lang w:eastAsia="en-ZW"/>
        </w:rPr>
        <w:t>Goldstein,</w:t>
      </w:r>
      <w:r w:rsidR="00EB57E2" w:rsidRPr="00EB57E2">
        <w:rPr>
          <w:rFonts w:ascii="Times New Roman" w:eastAsia="Times New Roman" w:hAnsi="Times New Roman" w:cs="Times New Roman"/>
          <w:sz w:val="24"/>
          <w:szCs w:val="24"/>
          <w:lang w:eastAsia="en-ZW"/>
        </w:rPr>
        <w:t xml:space="preserve">1960). </w:t>
      </w:r>
      <w:r w:rsidR="00B76848">
        <w:rPr>
          <w:rFonts w:ascii="Times New Roman" w:hAnsi="Times New Roman" w:cs="Times New Roman"/>
          <w:sz w:val="24"/>
          <w:szCs w:val="24"/>
          <w:lang w:val="en-US"/>
        </w:rPr>
        <w:t xml:space="preserve"> </w:t>
      </w:r>
    </w:p>
    <w:p w:rsidR="00B76848" w:rsidRDefault="0085393B" w:rsidP="00F0023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accused has multiple rights that are to be respected and protected. The accused has a right to a speedy and public trial and imperial jury with a right to be explained the nature of the cause of his arrest and accusation, according to brown he was never told the reason he is on trials and the cause the warrants arrest. He also has a right to have witness present on his favo</w:t>
      </w:r>
      <w:r w:rsidR="00EB57E2">
        <w:rPr>
          <w:rFonts w:ascii="Times New Roman" w:hAnsi="Times New Roman" w:cs="Times New Roman"/>
          <w:sz w:val="24"/>
          <w:szCs w:val="24"/>
          <w:lang w:val="en-US"/>
        </w:rPr>
        <w:t xml:space="preserve">ur and other witnesses to question. All said the accused has a right not to stand on his </w:t>
      </w:r>
      <w:r w:rsidR="00EB57E2">
        <w:rPr>
          <w:rFonts w:ascii="Times New Roman" w:hAnsi="Times New Roman" w:cs="Times New Roman"/>
          <w:sz w:val="24"/>
          <w:szCs w:val="24"/>
          <w:lang w:val="en-US"/>
        </w:rPr>
        <w:lastRenderedPageBreak/>
        <w:t>own during any stage of the trail, and the right should equally be protected to promote fair hearing and the making of the decision.</w:t>
      </w:r>
    </w:p>
    <w:p w:rsidR="00EB57E2" w:rsidRDefault="00EB57E2" w:rsidP="00F00235">
      <w:pPr>
        <w:spacing w:line="480" w:lineRule="auto"/>
        <w:rPr>
          <w:rFonts w:ascii="Times New Roman" w:hAnsi="Times New Roman" w:cs="Times New Roman"/>
          <w:sz w:val="24"/>
          <w:szCs w:val="24"/>
          <w:lang w:val="en-US"/>
        </w:rPr>
      </w:pPr>
    </w:p>
    <w:p w:rsidR="00EB57E2" w:rsidRDefault="00EB57E2" w:rsidP="00F00235">
      <w:pPr>
        <w:spacing w:line="480" w:lineRule="auto"/>
        <w:rPr>
          <w:rFonts w:ascii="Times New Roman" w:hAnsi="Times New Roman" w:cs="Times New Roman"/>
          <w:sz w:val="24"/>
          <w:szCs w:val="24"/>
          <w:lang w:val="en-US"/>
        </w:rPr>
      </w:pPr>
    </w:p>
    <w:p w:rsidR="00EB57E2" w:rsidRDefault="00EB57E2" w:rsidP="00F00235">
      <w:pPr>
        <w:spacing w:line="480" w:lineRule="auto"/>
        <w:rPr>
          <w:rFonts w:ascii="Times New Roman" w:hAnsi="Times New Roman" w:cs="Times New Roman"/>
          <w:sz w:val="24"/>
          <w:szCs w:val="24"/>
          <w:lang w:val="en-US"/>
        </w:rPr>
      </w:pPr>
    </w:p>
    <w:p w:rsidR="00EB57E2" w:rsidRDefault="00EB57E2" w:rsidP="00F00235">
      <w:pPr>
        <w:spacing w:line="480" w:lineRule="auto"/>
        <w:rPr>
          <w:rFonts w:ascii="Times New Roman" w:hAnsi="Times New Roman" w:cs="Times New Roman"/>
          <w:sz w:val="24"/>
          <w:szCs w:val="24"/>
          <w:lang w:val="en-US"/>
        </w:rPr>
      </w:pPr>
    </w:p>
    <w:p w:rsidR="00EB57E2" w:rsidRDefault="00EB57E2" w:rsidP="00F00235">
      <w:pPr>
        <w:spacing w:line="480" w:lineRule="auto"/>
        <w:rPr>
          <w:rFonts w:ascii="Times New Roman" w:hAnsi="Times New Roman" w:cs="Times New Roman"/>
          <w:sz w:val="24"/>
          <w:szCs w:val="24"/>
          <w:lang w:val="en-US"/>
        </w:rPr>
      </w:pPr>
    </w:p>
    <w:p w:rsidR="00EB57E2" w:rsidRDefault="00EB57E2" w:rsidP="00F00235">
      <w:pPr>
        <w:spacing w:line="480" w:lineRule="auto"/>
        <w:rPr>
          <w:rFonts w:ascii="Times New Roman" w:hAnsi="Times New Roman" w:cs="Times New Roman"/>
          <w:sz w:val="24"/>
          <w:szCs w:val="24"/>
          <w:lang w:val="en-US"/>
        </w:rPr>
      </w:pPr>
    </w:p>
    <w:p w:rsidR="00EB57E2" w:rsidRDefault="00EB57E2" w:rsidP="00F00235">
      <w:pPr>
        <w:spacing w:line="480" w:lineRule="auto"/>
        <w:rPr>
          <w:rFonts w:ascii="Times New Roman" w:hAnsi="Times New Roman" w:cs="Times New Roman"/>
          <w:sz w:val="24"/>
          <w:szCs w:val="24"/>
          <w:lang w:val="en-US"/>
        </w:rPr>
      </w:pPr>
    </w:p>
    <w:p w:rsidR="00EB57E2" w:rsidRDefault="0085393B" w:rsidP="00F0023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EB57E2" w:rsidRDefault="00EB57E2" w:rsidP="00F00235">
      <w:pPr>
        <w:spacing w:line="480" w:lineRule="auto"/>
        <w:rPr>
          <w:rFonts w:ascii="Times New Roman" w:hAnsi="Times New Roman" w:cs="Times New Roman"/>
          <w:sz w:val="24"/>
          <w:szCs w:val="24"/>
          <w:lang w:val="en-US"/>
        </w:rPr>
      </w:pPr>
    </w:p>
    <w:p w:rsidR="00F00235" w:rsidRDefault="00F00235" w:rsidP="00F00235">
      <w:pPr>
        <w:spacing w:line="480" w:lineRule="auto"/>
        <w:ind w:left="720" w:hanging="720"/>
        <w:rPr>
          <w:rFonts w:ascii="Times New Roman" w:hAnsi="Times New Roman" w:cs="Times New Roman"/>
          <w:sz w:val="24"/>
          <w:szCs w:val="24"/>
          <w:lang w:val="en-US"/>
        </w:rPr>
      </w:pPr>
    </w:p>
    <w:p w:rsidR="00F00235" w:rsidRPr="00FE6E82" w:rsidRDefault="00F00235" w:rsidP="00F00235">
      <w:pPr>
        <w:spacing w:line="480" w:lineRule="auto"/>
        <w:ind w:left="720" w:hanging="720"/>
        <w:jc w:val="center"/>
        <w:rPr>
          <w:rFonts w:ascii="Times New Roman" w:hAnsi="Times New Roman" w:cs="Times New Roman"/>
          <w:sz w:val="24"/>
          <w:szCs w:val="24"/>
          <w:lang w:val="en-US"/>
        </w:rPr>
      </w:pPr>
    </w:p>
    <w:p w:rsidR="00F00235" w:rsidRPr="00EB57E2" w:rsidRDefault="0085393B" w:rsidP="00F00235">
      <w:pPr>
        <w:spacing w:after="0" w:line="480" w:lineRule="auto"/>
        <w:ind w:left="720" w:hanging="720"/>
        <w:jc w:val="center"/>
        <w:rPr>
          <w:rFonts w:ascii="Times New Roman" w:eastAsia="Times New Roman" w:hAnsi="Times New Roman" w:cs="Times New Roman"/>
          <w:sz w:val="24"/>
          <w:szCs w:val="24"/>
          <w:lang w:eastAsia="en-ZW"/>
        </w:rPr>
      </w:pPr>
      <w:r w:rsidRPr="00EB57E2">
        <w:rPr>
          <w:rFonts w:ascii="Times New Roman" w:eastAsia="Times New Roman" w:hAnsi="Times New Roman" w:cs="Times New Roman"/>
          <w:sz w:val="24"/>
          <w:szCs w:val="24"/>
          <w:lang w:eastAsia="en-ZW"/>
        </w:rPr>
        <w:t xml:space="preserve">Amar, A. R. (1995). Sixth Amendment First Principles. </w:t>
      </w:r>
      <w:r w:rsidRPr="00EB57E2">
        <w:rPr>
          <w:rFonts w:ascii="Times New Roman" w:eastAsia="Times New Roman" w:hAnsi="Times New Roman" w:cs="Times New Roman"/>
          <w:i/>
          <w:iCs/>
          <w:sz w:val="24"/>
          <w:szCs w:val="24"/>
          <w:lang w:eastAsia="en-ZW"/>
        </w:rPr>
        <w:t>Geo. LJ</w:t>
      </w:r>
      <w:r w:rsidRPr="00EB57E2">
        <w:rPr>
          <w:rFonts w:ascii="Times New Roman" w:eastAsia="Times New Roman" w:hAnsi="Times New Roman" w:cs="Times New Roman"/>
          <w:sz w:val="24"/>
          <w:szCs w:val="24"/>
          <w:lang w:eastAsia="en-ZW"/>
        </w:rPr>
        <w:t xml:space="preserve">, </w:t>
      </w:r>
      <w:r w:rsidRPr="00EB57E2">
        <w:rPr>
          <w:rFonts w:ascii="Times New Roman" w:eastAsia="Times New Roman" w:hAnsi="Times New Roman" w:cs="Times New Roman"/>
          <w:i/>
          <w:iCs/>
          <w:sz w:val="24"/>
          <w:szCs w:val="24"/>
          <w:lang w:eastAsia="en-ZW"/>
        </w:rPr>
        <w:t>84</w:t>
      </w:r>
      <w:r w:rsidRPr="00EB57E2">
        <w:rPr>
          <w:rFonts w:ascii="Times New Roman" w:eastAsia="Times New Roman" w:hAnsi="Times New Roman" w:cs="Times New Roman"/>
          <w:sz w:val="24"/>
          <w:szCs w:val="24"/>
          <w:lang w:eastAsia="en-ZW"/>
        </w:rPr>
        <w:t>, 641.</w:t>
      </w:r>
    </w:p>
    <w:p w:rsidR="00F00235" w:rsidRPr="00EB57E2" w:rsidRDefault="0085393B" w:rsidP="00F00235">
      <w:pPr>
        <w:spacing w:after="0" w:line="480" w:lineRule="auto"/>
        <w:ind w:left="720" w:hanging="720"/>
        <w:jc w:val="center"/>
        <w:rPr>
          <w:rFonts w:ascii="Times New Roman" w:eastAsia="Times New Roman" w:hAnsi="Times New Roman" w:cs="Times New Roman"/>
          <w:sz w:val="24"/>
          <w:szCs w:val="24"/>
          <w:lang w:eastAsia="en-ZW"/>
        </w:rPr>
      </w:pPr>
      <w:r w:rsidRPr="00EB57E2">
        <w:rPr>
          <w:rFonts w:ascii="Times New Roman" w:eastAsia="Times New Roman" w:hAnsi="Times New Roman" w:cs="Times New Roman"/>
          <w:sz w:val="24"/>
          <w:szCs w:val="24"/>
          <w:lang w:eastAsia="en-ZW"/>
        </w:rPr>
        <w:t xml:space="preserve">Goldstein, A. S. (1960). The state and the accused: Balance of advantage in criminal procedure. </w:t>
      </w:r>
      <w:r w:rsidRPr="00EB57E2">
        <w:rPr>
          <w:rFonts w:ascii="Times New Roman" w:eastAsia="Times New Roman" w:hAnsi="Times New Roman" w:cs="Times New Roman"/>
          <w:i/>
          <w:iCs/>
          <w:sz w:val="24"/>
          <w:szCs w:val="24"/>
          <w:lang w:eastAsia="en-ZW"/>
        </w:rPr>
        <w:t>The Yale Law Journal</w:t>
      </w:r>
      <w:r w:rsidRPr="00EB57E2">
        <w:rPr>
          <w:rFonts w:ascii="Times New Roman" w:eastAsia="Times New Roman" w:hAnsi="Times New Roman" w:cs="Times New Roman"/>
          <w:sz w:val="24"/>
          <w:szCs w:val="24"/>
          <w:lang w:eastAsia="en-ZW"/>
        </w:rPr>
        <w:t xml:space="preserve">, </w:t>
      </w:r>
      <w:r w:rsidRPr="00EB57E2">
        <w:rPr>
          <w:rFonts w:ascii="Times New Roman" w:eastAsia="Times New Roman" w:hAnsi="Times New Roman" w:cs="Times New Roman"/>
          <w:i/>
          <w:iCs/>
          <w:sz w:val="24"/>
          <w:szCs w:val="24"/>
          <w:lang w:eastAsia="en-ZW"/>
        </w:rPr>
        <w:t>69</w:t>
      </w:r>
      <w:r w:rsidRPr="00EB57E2">
        <w:rPr>
          <w:rFonts w:ascii="Times New Roman" w:eastAsia="Times New Roman" w:hAnsi="Times New Roman" w:cs="Times New Roman"/>
          <w:sz w:val="24"/>
          <w:szCs w:val="24"/>
          <w:lang w:eastAsia="en-ZW"/>
        </w:rPr>
        <w:t>(7), 1149-1199.</w:t>
      </w:r>
    </w:p>
    <w:p w:rsidR="00F00235" w:rsidRPr="00EB57E2" w:rsidRDefault="0085393B" w:rsidP="00F00235">
      <w:pPr>
        <w:spacing w:after="0" w:line="480" w:lineRule="auto"/>
        <w:ind w:left="720" w:hanging="720"/>
        <w:jc w:val="center"/>
        <w:rPr>
          <w:rFonts w:ascii="Times New Roman" w:eastAsia="Times New Roman" w:hAnsi="Times New Roman" w:cs="Times New Roman"/>
          <w:sz w:val="24"/>
          <w:szCs w:val="24"/>
          <w:lang w:eastAsia="en-ZW"/>
        </w:rPr>
      </w:pPr>
      <w:r w:rsidRPr="00EB57E2">
        <w:rPr>
          <w:rFonts w:ascii="Times New Roman" w:eastAsia="Times New Roman" w:hAnsi="Times New Roman" w:cs="Times New Roman"/>
          <w:sz w:val="24"/>
          <w:szCs w:val="24"/>
          <w:lang w:eastAsia="en-ZW"/>
        </w:rPr>
        <w:t xml:space="preserve">Purrington, W. A. (1906). An Abused Privilege. </w:t>
      </w:r>
      <w:r w:rsidRPr="00EB57E2">
        <w:rPr>
          <w:rFonts w:ascii="Times New Roman" w:eastAsia="Times New Roman" w:hAnsi="Times New Roman" w:cs="Times New Roman"/>
          <w:i/>
          <w:iCs/>
          <w:sz w:val="24"/>
          <w:szCs w:val="24"/>
          <w:lang w:eastAsia="en-ZW"/>
        </w:rPr>
        <w:t>Columbia Law Review</w:t>
      </w:r>
      <w:r w:rsidRPr="00EB57E2">
        <w:rPr>
          <w:rFonts w:ascii="Times New Roman" w:eastAsia="Times New Roman" w:hAnsi="Times New Roman" w:cs="Times New Roman"/>
          <w:sz w:val="24"/>
          <w:szCs w:val="24"/>
          <w:lang w:eastAsia="en-ZW"/>
        </w:rPr>
        <w:t>, 388-422.</w:t>
      </w:r>
    </w:p>
    <w:p w:rsidR="00F00235" w:rsidRPr="00EB57E2" w:rsidRDefault="0085393B" w:rsidP="00F00235">
      <w:pPr>
        <w:spacing w:after="0" w:line="480" w:lineRule="auto"/>
        <w:ind w:left="720" w:hanging="720"/>
        <w:jc w:val="center"/>
        <w:rPr>
          <w:rFonts w:ascii="Times New Roman" w:eastAsia="Times New Roman" w:hAnsi="Times New Roman" w:cs="Times New Roman"/>
          <w:sz w:val="24"/>
          <w:szCs w:val="24"/>
          <w:lang w:eastAsia="en-ZW"/>
        </w:rPr>
      </w:pPr>
      <w:r w:rsidRPr="00EB57E2">
        <w:rPr>
          <w:rFonts w:ascii="Times New Roman" w:eastAsia="Times New Roman" w:hAnsi="Times New Roman" w:cs="Times New Roman"/>
          <w:sz w:val="24"/>
          <w:szCs w:val="24"/>
          <w:lang w:eastAsia="en-ZW"/>
        </w:rPr>
        <w:t xml:space="preserve">Quinn, J. R. (1970). In the Wake of Wade: The Dimensions of the Eyewitness Identification Cases. </w:t>
      </w:r>
      <w:r w:rsidRPr="00EB57E2">
        <w:rPr>
          <w:rFonts w:ascii="Times New Roman" w:eastAsia="Times New Roman" w:hAnsi="Times New Roman" w:cs="Times New Roman"/>
          <w:i/>
          <w:iCs/>
          <w:sz w:val="24"/>
          <w:szCs w:val="24"/>
          <w:lang w:eastAsia="en-ZW"/>
        </w:rPr>
        <w:t>U. Colo. L. Rev.</w:t>
      </w:r>
      <w:r w:rsidRPr="00EB57E2">
        <w:rPr>
          <w:rFonts w:ascii="Times New Roman" w:eastAsia="Times New Roman" w:hAnsi="Times New Roman" w:cs="Times New Roman"/>
          <w:sz w:val="24"/>
          <w:szCs w:val="24"/>
          <w:lang w:eastAsia="en-ZW"/>
        </w:rPr>
        <w:t xml:space="preserve">, </w:t>
      </w:r>
      <w:r w:rsidRPr="00EB57E2">
        <w:rPr>
          <w:rFonts w:ascii="Times New Roman" w:eastAsia="Times New Roman" w:hAnsi="Times New Roman" w:cs="Times New Roman"/>
          <w:i/>
          <w:iCs/>
          <w:sz w:val="24"/>
          <w:szCs w:val="24"/>
          <w:lang w:eastAsia="en-ZW"/>
        </w:rPr>
        <w:t>42</w:t>
      </w:r>
      <w:r w:rsidRPr="00EB57E2">
        <w:rPr>
          <w:rFonts w:ascii="Times New Roman" w:eastAsia="Times New Roman" w:hAnsi="Times New Roman" w:cs="Times New Roman"/>
          <w:sz w:val="24"/>
          <w:szCs w:val="24"/>
          <w:lang w:eastAsia="en-ZW"/>
        </w:rPr>
        <w:t>, 135.</w:t>
      </w:r>
    </w:p>
    <w:sectPr w:rsidR="00F00235" w:rsidRPr="00EB57E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E82"/>
    <w:rsid w:val="003D41FE"/>
    <w:rsid w:val="004A2534"/>
    <w:rsid w:val="004D1DF0"/>
    <w:rsid w:val="0085393B"/>
    <w:rsid w:val="009E1A8A"/>
    <w:rsid w:val="00B372A9"/>
    <w:rsid w:val="00B76848"/>
    <w:rsid w:val="00B853CC"/>
    <w:rsid w:val="00DE50B7"/>
    <w:rsid w:val="00EB57E2"/>
    <w:rsid w:val="00EC58F6"/>
    <w:rsid w:val="00F00235"/>
    <w:rsid w:val="00FE6E8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830C84-CA1B-4B9C-80F1-AE927C60B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7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2020-10-17T02:23:00Z</dcterms:created>
  <dcterms:modified xsi:type="dcterms:W3CDTF">2020-10-17T02:23:00Z</dcterms:modified>
</cp:coreProperties>
</file>